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47" w:rsidRPr="007C7A0C" w:rsidRDefault="00094847" w:rsidP="00094847">
      <w:pPr>
        <w:jc w:val="center"/>
        <w:rPr>
          <w:rFonts w:cs="Arial"/>
          <w:b/>
          <w:szCs w:val="24"/>
        </w:rPr>
      </w:pPr>
      <w:bookmarkStart w:id="0" w:name="_GoBack"/>
      <w:bookmarkEnd w:id="0"/>
      <w:r w:rsidRPr="007C7A0C">
        <w:rPr>
          <w:rFonts w:cs="Arial"/>
          <w:b/>
          <w:szCs w:val="24"/>
        </w:rPr>
        <w:t>Collegio dei Revisori dei Conti</w:t>
      </w:r>
    </w:p>
    <w:p w:rsidR="00094847" w:rsidRPr="007C7A0C" w:rsidRDefault="00094847" w:rsidP="00094847">
      <w:pPr>
        <w:jc w:val="center"/>
        <w:rPr>
          <w:rFonts w:cs="Arial"/>
          <w:b/>
          <w:szCs w:val="24"/>
          <w:u w:val="single"/>
        </w:rPr>
      </w:pPr>
      <w:r w:rsidRPr="007C7A0C">
        <w:rPr>
          <w:rFonts w:cs="Arial"/>
          <w:b/>
          <w:szCs w:val="24"/>
          <w:u w:val="single"/>
        </w:rPr>
        <w:t>Relazione sui conti giudiziali degli agenti contabili dell’Opera Universitaria di Trento</w:t>
      </w:r>
    </w:p>
    <w:p w:rsidR="00094847" w:rsidRDefault="00094847" w:rsidP="00094847">
      <w:pPr>
        <w:jc w:val="center"/>
        <w:rPr>
          <w:rFonts w:cs="Arial"/>
          <w:b/>
          <w:szCs w:val="24"/>
          <w:u w:val="single"/>
        </w:rPr>
      </w:pPr>
      <w:r w:rsidRPr="007C7A0C">
        <w:rPr>
          <w:rFonts w:cs="Arial"/>
          <w:b/>
          <w:szCs w:val="24"/>
          <w:u w:val="single"/>
        </w:rPr>
        <w:t>per l’anno 2019</w:t>
      </w:r>
    </w:p>
    <w:p w:rsidR="00F64D20" w:rsidRPr="007C7A0C" w:rsidRDefault="00F64D20" w:rsidP="00094847">
      <w:pPr>
        <w:jc w:val="center"/>
        <w:rPr>
          <w:rFonts w:cs="Arial"/>
          <w:b/>
          <w:szCs w:val="24"/>
          <w:u w:val="single"/>
        </w:rPr>
      </w:pPr>
    </w:p>
    <w:p w:rsidR="00094847" w:rsidRDefault="00094847" w:rsidP="0080125C">
      <w:pPr>
        <w:spacing w:line="240" w:lineRule="atLeast"/>
        <w:rPr>
          <w:rFonts w:ascii="Times New Roman" w:hAnsi="Times New Roman"/>
          <w:szCs w:val="24"/>
        </w:rPr>
      </w:pPr>
      <w:r>
        <w:rPr>
          <w:rFonts w:ascii="Times New Roman" w:hAnsi="Times New Roman"/>
          <w:szCs w:val="24"/>
        </w:rPr>
        <w:t>L’articolo 74 del R.D. 2440/1923 prevede che “</w:t>
      </w:r>
      <w:r>
        <w:rPr>
          <w:rFonts w:ascii="Times New Roman" w:hAnsi="Times New Roman"/>
          <w:i/>
          <w:szCs w:val="24"/>
        </w:rPr>
        <w:t xml:space="preserve">gli agenti incaricati della riscossione delle entrate e </w:t>
      </w:r>
      <w:r w:rsidR="0080125C">
        <w:rPr>
          <w:rFonts w:ascii="Times New Roman" w:hAnsi="Times New Roman"/>
          <w:i/>
          <w:szCs w:val="24"/>
        </w:rPr>
        <w:t>d</w:t>
      </w:r>
      <w:r>
        <w:rPr>
          <w:rFonts w:ascii="Times New Roman" w:hAnsi="Times New Roman"/>
          <w:i/>
          <w:szCs w:val="24"/>
        </w:rPr>
        <w:t>ell’esecuzione dei pagamenti delle spese, che … hanno maneggio qualsiasi di denaro ovvero debito di materia, …, dipendono direttamente … dalle amministrazioni … alle quali debbono rendere il conto della gestione e sono sottoposti alla … giurisdizione della Corte dei Conti</w:t>
      </w:r>
      <w:r>
        <w:rPr>
          <w:rFonts w:ascii="Times New Roman" w:hAnsi="Times New Roman"/>
          <w:szCs w:val="24"/>
        </w:rPr>
        <w:t>”.</w:t>
      </w:r>
    </w:p>
    <w:p w:rsidR="00094847" w:rsidRDefault="00094847" w:rsidP="0080125C">
      <w:pPr>
        <w:spacing w:line="240" w:lineRule="atLeast"/>
        <w:rPr>
          <w:rFonts w:ascii="Times New Roman" w:hAnsi="Times New Roman"/>
          <w:i/>
          <w:szCs w:val="24"/>
        </w:rPr>
      </w:pPr>
      <w:r>
        <w:rPr>
          <w:rFonts w:ascii="Times New Roman" w:hAnsi="Times New Roman"/>
          <w:szCs w:val="24"/>
        </w:rPr>
        <w:t>In base all’articolo 178 del R.D. 827/1924 “</w:t>
      </w:r>
      <w:r>
        <w:rPr>
          <w:rFonts w:ascii="Times New Roman" w:hAnsi="Times New Roman"/>
          <w:i/>
          <w:szCs w:val="24"/>
        </w:rPr>
        <w:t>sotto la denominazione di agenti contabili dell’amministrazione si comprendono:</w:t>
      </w:r>
    </w:p>
    <w:p w:rsidR="00094847" w:rsidRDefault="00094847" w:rsidP="0080125C">
      <w:pPr>
        <w:pStyle w:val="Paragrafoelenco"/>
        <w:numPr>
          <w:ilvl w:val="0"/>
          <w:numId w:val="1"/>
        </w:numPr>
        <w:spacing w:after="0" w:line="240" w:lineRule="atLeast"/>
        <w:rPr>
          <w:rFonts w:ascii="Times New Roman" w:hAnsi="Times New Roman"/>
          <w:i/>
          <w:sz w:val="24"/>
          <w:szCs w:val="24"/>
        </w:rPr>
      </w:pPr>
      <w:r>
        <w:rPr>
          <w:rFonts w:ascii="Times New Roman" w:hAnsi="Times New Roman"/>
          <w:i/>
          <w:sz w:val="24"/>
          <w:szCs w:val="24"/>
        </w:rPr>
        <w:t>Gli agenti che con qualsiasi titolo sono incaricati, a norma delle disposizioni organiche di ciascuna amministrazione di riscuotere le varie entrate dello Stato e di versarne le somme nelle casse del tesoro;</w:t>
      </w:r>
    </w:p>
    <w:p w:rsidR="00094847" w:rsidRDefault="00094847" w:rsidP="0080125C">
      <w:pPr>
        <w:pStyle w:val="Paragrafoelenco"/>
        <w:numPr>
          <w:ilvl w:val="0"/>
          <w:numId w:val="1"/>
        </w:numPr>
        <w:spacing w:after="0" w:line="240" w:lineRule="atLeast"/>
        <w:rPr>
          <w:rFonts w:ascii="Times New Roman" w:hAnsi="Times New Roman"/>
          <w:i/>
          <w:sz w:val="24"/>
          <w:szCs w:val="24"/>
        </w:rPr>
      </w:pPr>
      <w:r>
        <w:rPr>
          <w:rFonts w:ascii="Times New Roman" w:hAnsi="Times New Roman"/>
          <w:i/>
          <w:sz w:val="24"/>
          <w:szCs w:val="24"/>
        </w:rPr>
        <w:t>I tesorieri che ricevono nelle loro casse le somme dovute allo Stato, o le altre delle quali questo diventa debitore, eseguono i pagamenti delle spese per conto dello Stato, e disimpegnano tutti quegli altri servizi speciali che sono loro affidati dal ministro delle finanze (116) o dal direttore generale del tesoro;</w:t>
      </w:r>
    </w:p>
    <w:p w:rsidR="00094847" w:rsidRDefault="00094847" w:rsidP="0080125C">
      <w:pPr>
        <w:pStyle w:val="Paragrafoelenco"/>
        <w:numPr>
          <w:ilvl w:val="0"/>
          <w:numId w:val="1"/>
        </w:numPr>
        <w:spacing w:after="0" w:line="240" w:lineRule="atLeast"/>
        <w:rPr>
          <w:rFonts w:ascii="Times New Roman" w:hAnsi="Times New Roman"/>
          <w:i/>
          <w:sz w:val="24"/>
          <w:szCs w:val="24"/>
        </w:rPr>
      </w:pPr>
      <w:r>
        <w:rPr>
          <w:rFonts w:ascii="Times New Roman" w:hAnsi="Times New Roman"/>
          <w:i/>
          <w:sz w:val="24"/>
          <w:szCs w:val="24"/>
        </w:rPr>
        <w:t>Tutti coloro che, individualmente ovvero collegialmente, come facenti parte di consigli di amministrazione per i servizi della guerra e della marina e simili, hanno maneggio qualsiasi di pubblico danaro, o sono consegnatari di generi, oggetti e materie appartenenti allo Stato;</w:t>
      </w:r>
    </w:p>
    <w:p w:rsidR="00094847" w:rsidRDefault="00094847" w:rsidP="0080125C">
      <w:pPr>
        <w:pStyle w:val="Paragrafoelenco"/>
        <w:numPr>
          <w:ilvl w:val="0"/>
          <w:numId w:val="1"/>
        </w:numPr>
        <w:spacing w:after="0" w:line="240" w:lineRule="atLeast"/>
        <w:rPr>
          <w:rFonts w:ascii="Times New Roman" w:hAnsi="Times New Roman"/>
          <w:i/>
          <w:sz w:val="24"/>
          <w:szCs w:val="24"/>
        </w:rPr>
      </w:pPr>
      <w:r>
        <w:rPr>
          <w:rFonts w:ascii="Times New Roman" w:hAnsi="Times New Roman"/>
          <w:i/>
          <w:sz w:val="24"/>
          <w:szCs w:val="24"/>
        </w:rPr>
        <w:t>Gli impiegati di qualsiasi amministrazione dello Stato cui sia dato speciale incarico di fare esazioni di entrate di qualunque natura e provenienza;</w:t>
      </w:r>
    </w:p>
    <w:p w:rsidR="00094847" w:rsidRDefault="00094847" w:rsidP="0080125C">
      <w:pPr>
        <w:pStyle w:val="Paragrafoelenco"/>
        <w:numPr>
          <w:ilvl w:val="0"/>
          <w:numId w:val="1"/>
        </w:numPr>
        <w:spacing w:after="0" w:line="240" w:lineRule="atLeast"/>
        <w:rPr>
          <w:rFonts w:ascii="Times New Roman" w:hAnsi="Times New Roman"/>
          <w:i/>
          <w:sz w:val="24"/>
          <w:szCs w:val="24"/>
        </w:rPr>
      </w:pPr>
      <w:r>
        <w:rPr>
          <w:rFonts w:ascii="Times New Roman" w:hAnsi="Times New Roman"/>
          <w:i/>
          <w:sz w:val="24"/>
          <w:szCs w:val="24"/>
        </w:rPr>
        <w:t>Tutti coloro che, anche senza legale autorizzazione, prendono ingerenza negli incarichi attribuiti agli agenti anzidetti e riscuotono somme di spettanza dello Stato”</w:t>
      </w:r>
      <w:r w:rsidR="0080125C">
        <w:rPr>
          <w:rFonts w:ascii="Times New Roman" w:hAnsi="Times New Roman"/>
          <w:i/>
          <w:sz w:val="24"/>
          <w:szCs w:val="24"/>
        </w:rPr>
        <w:t>.</w:t>
      </w:r>
    </w:p>
    <w:p w:rsidR="0080125C" w:rsidRDefault="0080125C" w:rsidP="0080125C">
      <w:pPr>
        <w:pStyle w:val="Paragrafoelenco"/>
        <w:spacing w:after="0" w:line="240" w:lineRule="atLeast"/>
        <w:rPr>
          <w:rFonts w:ascii="Times New Roman" w:hAnsi="Times New Roman"/>
          <w:i/>
          <w:sz w:val="24"/>
          <w:szCs w:val="24"/>
        </w:rPr>
      </w:pPr>
    </w:p>
    <w:p w:rsidR="00094847" w:rsidRDefault="00094847" w:rsidP="0080125C">
      <w:pPr>
        <w:spacing w:line="240" w:lineRule="atLeast"/>
        <w:rPr>
          <w:rFonts w:ascii="Times New Roman" w:hAnsi="Times New Roman"/>
          <w:i/>
          <w:szCs w:val="24"/>
        </w:rPr>
      </w:pPr>
      <w:r>
        <w:rPr>
          <w:rFonts w:ascii="Times New Roman" w:hAnsi="Times New Roman"/>
          <w:szCs w:val="24"/>
        </w:rPr>
        <w:t>L’articolo 139 del d.lgs. 174/2016 prevede che “</w:t>
      </w:r>
      <w:r>
        <w:rPr>
          <w:rFonts w:ascii="Times New Roman" w:hAnsi="Times New Roman"/>
          <w:i/>
          <w:szCs w:val="24"/>
        </w:rPr>
        <w:t>gli agenti che vi sono tenuti, entro il termine di sessanta giorni, salvo il diverso termine previsto dalla legge, dalla chiusura dell’esercizio finanziario, o comunque dalla cessazione della gestione, presentano il conto giudiziale all’amministrazione di appartenenza. L’amministrazione individua un responsabile del procedimento che, espletata la fase di verifica o controllo amministrativo previsti dalla vigente normativa, entro trenta giorni dalla approvazione, previa parificazione del conto, lo deposita, unitamente alla relazione degli organi di controllo interno, presso la sezione giurisdizionale territorialmente competente.”</w:t>
      </w:r>
    </w:p>
    <w:p w:rsidR="0080125C" w:rsidRDefault="0080125C" w:rsidP="0080125C">
      <w:pPr>
        <w:spacing w:line="240" w:lineRule="atLeast"/>
        <w:rPr>
          <w:rFonts w:ascii="Times New Roman" w:hAnsi="Times New Roman"/>
          <w:i/>
          <w:szCs w:val="24"/>
        </w:rPr>
      </w:pPr>
    </w:p>
    <w:p w:rsidR="00094847" w:rsidRDefault="00094847" w:rsidP="0080125C">
      <w:pPr>
        <w:spacing w:line="240" w:lineRule="atLeast"/>
        <w:rPr>
          <w:rFonts w:ascii="Times New Roman" w:hAnsi="Times New Roman"/>
          <w:szCs w:val="24"/>
        </w:rPr>
      </w:pPr>
      <w:r>
        <w:rPr>
          <w:rFonts w:ascii="Times New Roman" w:hAnsi="Times New Roman"/>
          <w:szCs w:val="24"/>
        </w:rPr>
        <w:t>La disciplina provinciale in materia di agenti contabili è contenuta nell’articolo 47 della legge provinciale 14 settembre 1979, n. 7 (legge provinciale di contabilità) e nell’art. 25 e seguenti del D.P.P. n. 18-48/</w:t>
      </w:r>
      <w:proofErr w:type="spellStart"/>
      <w:r>
        <w:rPr>
          <w:rFonts w:ascii="Times New Roman" w:hAnsi="Times New Roman"/>
          <w:szCs w:val="24"/>
        </w:rPr>
        <w:t>Leg</w:t>
      </w:r>
      <w:proofErr w:type="spellEnd"/>
      <w:r>
        <w:rPr>
          <w:rFonts w:ascii="Times New Roman" w:hAnsi="Times New Roman"/>
          <w:szCs w:val="24"/>
        </w:rPr>
        <w:t xml:space="preserve"> di data 29 settembre 2005 (ed in particolare l’art. 25 bis 1 comma 1 prevede: </w:t>
      </w:r>
      <w:r w:rsidRPr="00B55B0A">
        <w:rPr>
          <w:rFonts w:ascii="Times New Roman" w:hAnsi="Times New Roman"/>
          <w:i/>
          <w:szCs w:val="24"/>
        </w:rPr>
        <w:t>“Il responsabile del procedimento a seguito dell’approvazione del visto di conformità trasmette il conto giudiziale all’organo di controllo, individuato al comma 4 dell’articolo 47 della legge provinciale 14 settembre 1979, n. 7 che predispone una relazione che da atto degli esiti dei controlli dis</w:t>
      </w:r>
      <w:r>
        <w:rPr>
          <w:rFonts w:ascii="Times New Roman" w:hAnsi="Times New Roman"/>
          <w:i/>
          <w:szCs w:val="24"/>
        </w:rPr>
        <w:t>ciplinati del medesimo comma.</w:t>
      </w:r>
      <w:r w:rsidRPr="00EF41CF">
        <w:rPr>
          <w:rFonts w:ascii="Times New Roman" w:hAnsi="Times New Roman"/>
          <w:szCs w:val="24"/>
        </w:rPr>
        <w:t xml:space="preserve"> Mentre </w:t>
      </w:r>
      <w:r w:rsidRPr="008B3C7D">
        <w:rPr>
          <w:rFonts w:ascii="Times New Roman" w:hAnsi="Times New Roman"/>
          <w:szCs w:val="24"/>
        </w:rPr>
        <w:t>l’</w:t>
      </w:r>
      <w:r>
        <w:rPr>
          <w:rFonts w:ascii="Times New Roman" w:hAnsi="Times New Roman"/>
          <w:szCs w:val="24"/>
        </w:rPr>
        <w:t xml:space="preserve">art. 25 bis 3 </w:t>
      </w:r>
      <w:r w:rsidRPr="008B3C7D">
        <w:rPr>
          <w:rFonts w:ascii="Times New Roman" w:hAnsi="Times New Roman"/>
          <w:szCs w:val="24"/>
        </w:rPr>
        <w:t>al comma 1</w:t>
      </w:r>
      <w:r>
        <w:rPr>
          <w:rFonts w:ascii="Times New Roman" w:hAnsi="Times New Roman"/>
          <w:szCs w:val="24"/>
        </w:rPr>
        <w:t xml:space="preserve">  </w:t>
      </w:r>
      <w:r w:rsidRPr="008B3C7D">
        <w:rPr>
          <w:rFonts w:ascii="Times New Roman" w:hAnsi="Times New Roman"/>
          <w:szCs w:val="24"/>
        </w:rPr>
        <w:t>prevede</w:t>
      </w:r>
      <w:r>
        <w:rPr>
          <w:rFonts w:ascii="Times New Roman" w:hAnsi="Times New Roman"/>
          <w:i/>
          <w:szCs w:val="24"/>
        </w:rPr>
        <w:t xml:space="preserve">: “La trasmissione del conto giudiziale all’organo di controllo deve avvenire entro un mese dalla ricezione”, </w:t>
      </w:r>
      <w:r w:rsidRPr="008B3C7D">
        <w:rPr>
          <w:rFonts w:ascii="Times New Roman" w:hAnsi="Times New Roman"/>
          <w:szCs w:val="24"/>
        </w:rPr>
        <w:t>al</w:t>
      </w:r>
      <w:r>
        <w:rPr>
          <w:rFonts w:ascii="Times New Roman" w:hAnsi="Times New Roman"/>
          <w:szCs w:val="24"/>
        </w:rPr>
        <w:t>la</w:t>
      </w:r>
      <w:r w:rsidRPr="008B3C7D">
        <w:rPr>
          <w:rFonts w:ascii="Times New Roman" w:hAnsi="Times New Roman"/>
          <w:szCs w:val="24"/>
        </w:rPr>
        <w:t xml:space="preserve"> comma 2:</w:t>
      </w:r>
      <w:r>
        <w:rPr>
          <w:rFonts w:ascii="Times New Roman" w:hAnsi="Times New Roman"/>
          <w:i/>
          <w:szCs w:val="24"/>
        </w:rPr>
        <w:t xml:space="preserve"> “In materia di agenti della riscossione, la trasmissione del conto giudiziale all’organo di controllo deve avvenire entro tre mesi dalla ricezione del conto da parte del responsabile del procedimento” </w:t>
      </w:r>
      <w:r w:rsidRPr="00EF41CF">
        <w:rPr>
          <w:rFonts w:ascii="Times New Roman" w:hAnsi="Times New Roman"/>
          <w:szCs w:val="24"/>
        </w:rPr>
        <w:t xml:space="preserve">ed infine al comma </w:t>
      </w:r>
      <w:r>
        <w:rPr>
          <w:rFonts w:ascii="Times New Roman" w:hAnsi="Times New Roman"/>
          <w:szCs w:val="24"/>
        </w:rPr>
        <w:t xml:space="preserve">3: </w:t>
      </w:r>
      <w:r w:rsidRPr="00EF41CF">
        <w:rPr>
          <w:rFonts w:ascii="Times New Roman" w:hAnsi="Times New Roman"/>
          <w:i/>
          <w:szCs w:val="24"/>
        </w:rPr>
        <w:t>“L’organo di controllo deve far pervenire la relazione al responsabile del procedimento almeno dieci giorni prima del termine di approvazione previsto dall’articolo 25 bis 2.</w:t>
      </w:r>
      <w:r>
        <w:rPr>
          <w:rFonts w:ascii="Times New Roman" w:hAnsi="Times New Roman"/>
          <w:i/>
          <w:szCs w:val="24"/>
        </w:rPr>
        <w:t>”.</w:t>
      </w:r>
    </w:p>
    <w:p w:rsidR="00094847" w:rsidRPr="007C7A0C" w:rsidRDefault="00094847" w:rsidP="0080125C">
      <w:pPr>
        <w:spacing w:line="240" w:lineRule="atLeast"/>
        <w:rPr>
          <w:rFonts w:cs="Arial"/>
          <w:szCs w:val="24"/>
        </w:rPr>
      </w:pPr>
      <w:r w:rsidRPr="007C7A0C">
        <w:rPr>
          <w:rFonts w:cs="Arial"/>
          <w:szCs w:val="24"/>
        </w:rPr>
        <w:lastRenderedPageBreak/>
        <w:t>L’amministrazione sottopone al Collegio dei Revisori i seguenti conti giudiziali: conto giudiziale dell’Economo, conto giudiziale del Tesoriere e conti giudiziali dei Concessionari della Riscossione (Trentino Riscossioni e Agenzia delle Entrate - Riscossione).</w:t>
      </w:r>
    </w:p>
    <w:p w:rsidR="00094847" w:rsidRDefault="00094847" w:rsidP="0080125C">
      <w:pPr>
        <w:spacing w:line="240" w:lineRule="atLeast"/>
        <w:rPr>
          <w:rFonts w:cs="Arial"/>
          <w:szCs w:val="24"/>
        </w:rPr>
      </w:pPr>
      <w:r w:rsidRPr="007C7A0C">
        <w:rPr>
          <w:rFonts w:cs="Arial"/>
          <w:szCs w:val="24"/>
        </w:rPr>
        <w:t>Il Collegio dei Revisori dei conti prende atto dei seguenti conti giudiziali, così come forniti dall’amministrazione e trasmessi a</w:t>
      </w:r>
      <w:r w:rsidR="008A26DE">
        <w:rPr>
          <w:rFonts w:cs="Arial"/>
          <w:szCs w:val="24"/>
        </w:rPr>
        <w:t xml:space="preserve">ll’organo di controllo in data 10 </w:t>
      </w:r>
      <w:r w:rsidRPr="007C7A0C">
        <w:rPr>
          <w:rFonts w:cs="Arial"/>
          <w:szCs w:val="24"/>
        </w:rPr>
        <w:t xml:space="preserve"> marzo 20</w:t>
      </w:r>
      <w:r w:rsidR="008A26DE">
        <w:rPr>
          <w:rFonts w:cs="Arial"/>
          <w:szCs w:val="24"/>
        </w:rPr>
        <w:t>20</w:t>
      </w:r>
      <w:r w:rsidRPr="007C7A0C">
        <w:rPr>
          <w:rFonts w:cs="Arial"/>
          <w:szCs w:val="24"/>
        </w:rPr>
        <w:t xml:space="preserve"> con nota </w:t>
      </w:r>
      <w:proofErr w:type="spellStart"/>
      <w:r w:rsidRPr="007C7A0C">
        <w:rPr>
          <w:rFonts w:cs="Arial"/>
          <w:szCs w:val="24"/>
        </w:rPr>
        <w:t>prot</w:t>
      </w:r>
      <w:proofErr w:type="spellEnd"/>
      <w:r w:rsidRPr="007C7A0C">
        <w:rPr>
          <w:rFonts w:cs="Arial"/>
          <w:szCs w:val="24"/>
        </w:rPr>
        <w:t xml:space="preserve">. N. </w:t>
      </w:r>
      <w:r w:rsidR="008A26DE">
        <w:rPr>
          <w:rFonts w:cs="Arial"/>
          <w:szCs w:val="24"/>
        </w:rPr>
        <w:t>1772/1.3</w:t>
      </w:r>
      <w:r w:rsidRPr="007C7A0C">
        <w:rPr>
          <w:rFonts w:cs="Arial"/>
          <w:szCs w:val="24"/>
        </w:rPr>
        <w:t>:</w:t>
      </w:r>
    </w:p>
    <w:p w:rsidR="0080125C" w:rsidRPr="007C7A0C" w:rsidRDefault="0080125C" w:rsidP="0080125C">
      <w:pPr>
        <w:spacing w:line="240" w:lineRule="atLeast"/>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4811"/>
      </w:tblGrid>
      <w:tr w:rsidR="00094847" w:rsidRPr="007C7A0C" w:rsidTr="0080125C">
        <w:trPr>
          <w:trHeight w:val="418"/>
        </w:trPr>
        <w:tc>
          <w:tcPr>
            <w:tcW w:w="4889" w:type="dxa"/>
          </w:tcPr>
          <w:p w:rsidR="00094847" w:rsidRPr="00F64D20" w:rsidRDefault="00094847" w:rsidP="0080125C">
            <w:pPr>
              <w:spacing w:line="240" w:lineRule="atLeast"/>
              <w:rPr>
                <w:rFonts w:cs="Arial"/>
                <w:szCs w:val="24"/>
              </w:rPr>
            </w:pPr>
            <w:r w:rsidRPr="00F64D20">
              <w:rPr>
                <w:rFonts w:cs="Arial"/>
                <w:szCs w:val="24"/>
              </w:rPr>
              <w:t>TIPOLOGIA</w:t>
            </w:r>
          </w:p>
        </w:tc>
        <w:tc>
          <w:tcPr>
            <w:tcW w:w="4889" w:type="dxa"/>
          </w:tcPr>
          <w:p w:rsidR="00094847" w:rsidRPr="00F64D20" w:rsidRDefault="00094847" w:rsidP="0080125C">
            <w:pPr>
              <w:spacing w:line="240" w:lineRule="atLeast"/>
              <w:rPr>
                <w:rFonts w:cs="Arial"/>
                <w:szCs w:val="24"/>
              </w:rPr>
            </w:pPr>
            <w:r w:rsidRPr="00F64D20">
              <w:rPr>
                <w:rFonts w:cs="Arial"/>
                <w:szCs w:val="24"/>
              </w:rPr>
              <w:t>AGENTE CONTABILE</w:t>
            </w:r>
          </w:p>
        </w:tc>
      </w:tr>
      <w:tr w:rsidR="00094847" w:rsidRPr="007C7A0C" w:rsidTr="006E67B6">
        <w:tc>
          <w:tcPr>
            <w:tcW w:w="4889" w:type="dxa"/>
          </w:tcPr>
          <w:p w:rsidR="00094847" w:rsidRPr="00F64D20" w:rsidRDefault="00094847" w:rsidP="0080125C">
            <w:pPr>
              <w:spacing w:line="240" w:lineRule="atLeast"/>
              <w:rPr>
                <w:rFonts w:cs="Arial"/>
                <w:szCs w:val="24"/>
              </w:rPr>
            </w:pPr>
            <w:r w:rsidRPr="00F64D20">
              <w:rPr>
                <w:rFonts w:cs="Arial"/>
                <w:szCs w:val="24"/>
              </w:rPr>
              <w:t>Conto dell’Economo</w:t>
            </w:r>
          </w:p>
        </w:tc>
        <w:tc>
          <w:tcPr>
            <w:tcW w:w="4889" w:type="dxa"/>
          </w:tcPr>
          <w:p w:rsidR="00094847" w:rsidRPr="00F64D20" w:rsidRDefault="00094847" w:rsidP="0080125C">
            <w:pPr>
              <w:spacing w:line="240" w:lineRule="atLeast"/>
              <w:rPr>
                <w:rFonts w:cs="Arial"/>
                <w:szCs w:val="24"/>
              </w:rPr>
            </w:pPr>
            <w:r w:rsidRPr="00F64D20">
              <w:rPr>
                <w:rFonts w:cs="Arial"/>
                <w:szCs w:val="24"/>
              </w:rPr>
              <w:t xml:space="preserve">Nadia </w:t>
            </w:r>
            <w:proofErr w:type="spellStart"/>
            <w:r w:rsidRPr="00F64D20">
              <w:rPr>
                <w:rFonts w:cs="Arial"/>
                <w:szCs w:val="24"/>
              </w:rPr>
              <w:t>Anesi</w:t>
            </w:r>
            <w:proofErr w:type="spellEnd"/>
          </w:p>
        </w:tc>
      </w:tr>
      <w:tr w:rsidR="00094847" w:rsidRPr="007C7A0C" w:rsidTr="006E67B6">
        <w:tc>
          <w:tcPr>
            <w:tcW w:w="4889" w:type="dxa"/>
          </w:tcPr>
          <w:p w:rsidR="00094847" w:rsidRPr="00F64D20" w:rsidRDefault="00094847" w:rsidP="0080125C">
            <w:pPr>
              <w:spacing w:line="240" w:lineRule="atLeast"/>
              <w:rPr>
                <w:rFonts w:cs="Arial"/>
                <w:szCs w:val="24"/>
              </w:rPr>
            </w:pPr>
            <w:r w:rsidRPr="00F64D20">
              <w:rPr>
                <w:rFonts w:cs="Arial"/>
                <w:szCs w:val="24"/>
              </w:rPr>
              <w:t>Conto del Tesoriere</w:t>
            </w:r>
          </w:p>
        </w:tc>
        <w:tc>
          <w:tcPr>
            <w:tcW w:w="4889" w:type="dxa"/>
          </w:tcPr>
          <w:p w:rsidR="00094847" w:rsidRPr="00F64D20" w:rsidRDefault="00094847" w:rsidP="0080125C">
            <w:pPr>
              <w:spacing w:line="240" w:lineRule="atLeast"/>
              <w:rPr>
                <w:rFonts w:cs="Arial"/>
                <w:szCs w:val="24"/>
              </w:rPr>
            </w:pPr>
            <w:r w:rsidRPr="00F64D20">
              <w:rPr>
                <w:rFonts w:cs="Arial"/>
                <w:szCs w:val="24"/>
              </w:rPr>
              <w:t>UNICREDIT</w:t>
            </w:r>
          </w:p>
        </w:tc>
      </w:tr>
      <w:tr w:rsidR="00094847" w:rsidRPr="007C7A0C" w:rsidTr="006E67B6">
        <w:tc>
          <w:tcPr>
            <w:tcW w:w="4889" w:type="dxa"/>
          </w:tcPr>
          <w:p w:rsidR="00094847" w:rsidRPr="00F64D20" w:rsidRDefault="00094847" w:rsidP="0080125C">
            <w:pPr>
              <w:spacing w:line="240" w:lineRule="atLeast"/>
              <w:rPr>
                <w:rFonts w:cs="Arial"/>
                <w:szCs w:val="24"/>
              </w:rPr>
            </w:pPr>
            <w:r w:rsidRPr="00F64D20">
              <w:rPr>
                <w:rFonts w:cs="Arial"/>
                <w:szCs w:val="24"/>
              </w:rPr>
              <w:t>Conto del Concessionario della Riscossione</w:t>
            </w:r>
          </w:p>
        </w:tc>
        <w:tc>
          <w:tcPr>
            <w:tcW w:w="4889" w:type="dxa"/>
          </w:tcPr>
          <w:p w:rsidR="00094847" w:rsidRPr="00F64D20" w:rsidRDefault="00094847" w:rsidP="0080125C">
            <w:pPr>
              <w:spacing w:line="240" w:lineRule="atLeast"/>
              <w:rPr>
                <w:rFonts w:cs="Arial"/>
                <w:szCs w:val="24"/>
              </w:rPr>
            </w:pPr>
            <w:r w:rsidRPr="00F64D20">
              <w:rPr>
                <w:rFonts w:cs="Arial"/>
                <w:szCs w:val="24"/>
              </w:rPr>
              <w:t>Trentino Riscossioni SpA</w:t>
            </w:r>
          </w:p>
        </w:tc>
      </w:tr>
      <w:tr w:rsidR="00094847" w:rsidRPr="007C7A0C" w:rsidTr="006E67B6">
        <w:tc>
          <w:tcPr>
            <w:tcW w:w="4889" w:type="dxa"/>
          </w:tcPr>
          <w:p w:rsidR="00094847" w:rsidRPr="00F64D20" w:rsidRDefault="00094847" w:rsidP="0080125C">
            <w:pPr>
              <w:spacing w:line="240" w:lineRule="atLeast"/>
              <w:rPr>
                <w:rFonts w:cs="Arial"/>
                <w:szCs w:val="24"/>
              </w:rPr>
            </w:pPr>
            <w:r w:rsidRPr="00F64D20">
              <w:rPr>
                <w:rFonts w:cs="Arial"/>
                <w:szCs w:val="24"/>
              </w:rPr>
              <w:t>Conto del Concessionario della Riscossione</w:t>
            </w:r>
          </w:p>
        </w:tc>
        <w:tc>
          <w:tcPr>
            <w:tcW w:w="4889" w:type="dxa"/>
          </w:tcPr>
          <w:p w:rsidR="00094847" w:rsidRPr="00F64D20" w:rsidRDefault="00094847" w:rsidP="0080125C">
            <w:pPr>
              <w:spacing w:line="240" w:lineRule="atLeast"/>
              <w:rPr>
                <w:rFonts w:cs="Arial"/>
                <w:szCs w:val="24"/>
              </w:rPr>
            </w:pPr>
            <w:r w:rsidRPr="00F64D20">
              <w:rPr>
                <w:rFonts w:cs="Arial"/>
                <w:szCs w:val="24"/>
              </w:rPr>
              <w:t>Agenzia delle Entrate – Riscossione</w:t>
            </w:r>
          </w:p>
        </w:tc>
      </w:tr>
    </w:tbl>
    <w:p w:rsidR="0080125C" w:rsidRDefault="0080125C" w:rsidP="0080125C">
      <w:pPr>
        <w:spacing w:line="240" w:lineRule="atLeast"/>
        <w:rPr>
          <w:rFonts w:cs="Arial"/>
          <w:szCs w:val="24"/>
        </w:rPr>
      </w:pPr>
    </w:p>
    <w:p w:rsidR="00094847" w:rsidRPr="007C7A0C" w:rsidRDefault="00094847" w:rsidP="0080125C">
      <w:pPr>
        <w:spacing w:line="240" w:lineRule="atLeast"/>
        <w:rPr>
          <w:rFonts w:cs="Arial"/>
          <w:szCs w:val="24"/>
        </w:rPr>
      </w:pPr>
      <w:r w:rsidRPr="007C7A0C">
        <w:rPr>
          <w:rFonts w:cs="Arial"/>
          <w:szCs w:val="24"/>
        </w:rPr>
        <w:t>Dalle verifiche effettuate, emerge quanto segue:</w:t>
      </w:r>
    </w:p>
    <w:p w:rsidR="00094847" w:rsidRPr="007C7A0C" w:rsidRDefault="00094847" w:rsidP="0080125C">
      <w:pPr>
        <w:pStyle w:val="Paragrafoelenco"/>
        <w:numPr>
          <w:ilvl w:val="0"/>
          <w:numId w:val="2"/>
        </w:numPr>
        <w:spacing w:after="0" w:line="240" w:lineRule="atLeast"/>
        <w:rPr>
          <w:rFonts w:ascii="Arial" w:hAnsi="Arial" w:cs="Arial"/>
          <w:sz w:val="24"/>
          <w:szCs w:val="24"/>
        </w:rPr>
      </w:pPr>
      <w:r w:rsidRPr="007C7A0C">
        <w:rPr>
          <w:rFonts w:ascii="Arial" w:hAnsi="Arial" w:cs="Arial"/>
          <w:sz w:val="24"/>
          <w:szCs w:val="24"/>
        </w:rPr>
        <w:t>I conti giudiziali,</w:t>
      </w:r>
      <w:r>
        <w:rPr>
          <w:rFonts w:ascii="Arial" w:hAnsi="Arial" w:cs="Arial"/>
          <w:sz w:val="24"/>
          <w:szCs w:val="24"/>
        </w:rPr>
        <w:t xml:space="preserve"> </w:t>
      </w:r>
      <w:r w:rsidRPr="007C7A0C">
        <w:rPr>
          <w:rFonts w:ascii="Arial" w:hAnsi="Arial" w:cs="Arial"/>
          <w:sz w:val="24"/>
          <w:szCs w:val="24"/>
        </w:rPr>
        <w:t>sono stati protocollati dall’ente entro il termine del 28/02/20</w:t>
      </w:r>
      <w:r>
        <w:rPr>
          <w:rFonts w:ascii="Arial" w:hAnsi="Arial" w:cs="Arial"/>
          <w:sz w:val="24"/>
          <w:szCs w:val="24"/>
        </w:rPr>
        <w:t>20</w:t>
      </w:r>
      <w:r w:rsidRPr="007C7A0C">
        <w:rPr>
          <w:rFonts w:ascii="Arial" w:hAnsi="Arial" w:cs="Arial"/>
          <w:sz w:val="24"/>
          <w:szCs w:val="24"/>
        </w:rPr>
        <w:t>.</w:t>
      </w:r>
    </w:p>
    <w:p w:rsidR="00094847" w:rsidRPr="007C7A0C" w:rsidRDefault="00094847" w:rsidP="0080125C">
      <w:pPr>
        <w:pStyle w:val="Paragrafoelenco"/>
        <w:spacing w:after="0" w:line="240" w:lineRule="atLeast"/>
        <w:rPr>
          <w:rFonts w:ascii="Arial" w:hAnsi="Arial" w:cs="Arial"/>
          <w:sz w:val="24"/>
          <w:szCs w:val="24"/>
        </w:rPr>
      </w:pPr>
      <w:r w:rsidRPr="007C7A0C">
        <w:rPr>
          <w:rFonts w:ascii="Arial" w:hAnsi="Arial" w:cs="Arial"/>
          <w:sz w:val="24"/>
          <w:szCs w:val="24"/>
        </w:rPr>
        <w:t>Nello specifico:</w:t>
      </w:r>
    </w:p>
    <w:p w:rsidR="00094847" w:rsidRPr="007C7A0C" w:rsidRDefault="00094847" w:rsidP="0080125C">
      <w:pPr>
        <w:pStyle w:val="Paragrafoelenco"/>
        <w:numPr>
          <w:ilvl w:val="0"/>
          <w:numId w:val="3"/>
        </w:numPr>
        <w:spacing w:after="0" w:line="240" w:lineRule="atLeast"/>
        <w:rPr>
          <w:rFonts w:ascii="Arial" w:hAnsi="Arial" w:cs="Arial"/>
          <w:sz w:val="24"/>
          <w:szCs w:val="24"/>
        </w:rPr>
      </w:pPr>
      <w:r w:rsidRPr="007C7A0C">
        <w:rPr>
          <w:rFonts w:ascii="Arial" w:hAnsi="Arial" w:cs="Arial"/>
          <w:sz w:val="24"/>
          <w:szCs w:val="24"/>
        </w:rPr>
        <w:t xml:space="preserve">Conto dell’Economo: </w:t>
      </w:r>
      <w:r>
        <w:rPr>
          <w:rFonts w:ascii="Arial" w:hAnsi="Arial" w:cs="Arial"/>
          <w:sz w:val="24"/>
          <w:szCs w:val="24"/>
        </w:rPr>
        <w:t>10/02</w:t>
      </w:r>
      <w:r w:rsidRPr="007C7A0C">
        <w:rPr>
          <w:rFonts w:ascii="Arial" w:hAnsi="Arial" w:cs="Arial"/>
          <w:sz w:val="24"/>
          <w:szCs w:val="24"/>
        </w:rPr>
        <w:t>/2020;</w:t>
      </w:r>
    </w:p>
    <w:p w:rsidR="00094847" w:rsidRPr="007C7A0C" w:rsidRDefault="00094847" w:rsidP="0080125C">
      <w:pPr>
        <w:pStyle w:val="Paragrafoelenco"/>
        <w:numPr>
          <w:ilvl w:val="0"/>
          <w:numId w:val="3"/>
        </w:numPr>
        <w:spacing w:after="0" w:line="240" w:lineRule="atLeast"/>
        <w:rPr>
          <w:rFonts w:ascii="Arial" w:hAnsi="Arial" w:cs="Arial"/>
          <w:sz w:val="24"/>
          <w:szCs w:val="24"/>
        </w:rPr>
      </w:pPr>
      <w:r w:rsidRPr="007C7A0C">
        <w:rPr>
          <w:rFonts w:ascii="Arial" w:hAnsi="Arial" w:cs="Arial"/>
          <w:sz w:val="24"/>
          <w:szCs w:val="24"/>
        </w:rPr>
        <w:t xml:space="preserve">Conto del Concessionario della Riscossione (Trentino Riscossioni SpA): </w:t>
      </w:r>
      <w:r>
        <w:rPr>
          <w:rFonts w:ascii="Arial" w:hAnsi="Arial" w:cs="Arial"/>
          <w:sz w:val="24"/>
          <w:szCs w:val="24"/>
        </w:rPr>
        <w:t>20/01/</w:t>
      </w:r>
      <w:r w:rsidRPr="007C7A0C">
        <w:rPr>
          <w:rFonts w:ascii="Arial" w:hAnsi="Arial" w:cs="Arial"/>
          <w:sz w:val="24"/>
          <w:szCs w:val="24"/>
        </w:rPr>
        <w:t>/2020;</w:t>
      </w:r>
    </w:p>
    <w:p w:rsidR="00094847" w:rsidRPr="007C7A0C" w:rsidRDefault="00094847" w:rsidP="0080125C">
      <w:pPr>
        <w:pStyle w:val="Paragrafoelenco"/>
        <w:numPr>
          <w:ilvl w:val="0"/>
          <w:numId w:val="3"/>
        </w:numPr>
        <w:spacing w:after="0" w:line="240" w:lineRule="atLeast"/>
        <w:ind w:left="1134" w:hanging="425"/>
        <w:rPr>
          <w:rFonts w:ascii="Arial" w:hAnsi="Arial" w:cs="Arial"/>
          <w:sz w:val="24"/>
          <w:szCs w:val="24"/>
        </w:rPr>
      </w:pPr>
      <w:r w:rsidRPr="007C7A0C">
        <w:rPr>
          <w:rFonts w:ascii="Arial" w:hAnsi="Arial" w:cs="Arial"/>
          <w:sz w:val="24"/>
          <w:szCs w:val="24"/>
        </w:rPr>
        <w:t>Conto del Concessionario della Riscossione (Agenzia delle Entrate - Riscossione): 14/02/2020.</w:t>
      </w:r>
    </w:p>
    <w:p w:rsidR="00094847" w:rsidRPr="0080125C" w:rsidRDefault="00094847" w:rsidP="0080125C">
      <w:pPr>
        <w:pStyle w:val="Paragrafoelenco"/>
        <w:numPr>
          <w:ilvl w:val="0"/>
          <w:numId w:val="3"/>
        </w:numPr>
        <w:spacing w:after="0" w:line="240" w:lineRule="atLeast"/>
        <w:ind w:left="1134" w:hanging="425"/>
        <w:rPr>
          <w:rFonts w:ascii="Arial" w:hAnsi="Arial" w:cs="Arial"/>
          <w:sz w:val="24"/>
          <w:szCs w:val="24"/>
        </w:rPr>
      </w:pPr>
      <w:r w:rsidRPr="0080125C">
        <w:rPr>
          <w:rFonts w:ascii="Arial" w:hAnsi="Arial" w:cs="Arial"/>
          <w:sz w:val="24"/>
          <w:szCs w:val="24"/>
        </w:rPr>
        <w:t>Conto del Tesoriere (Unicredit): 13/02/2020.</w:t>
      </w:r>
    </w:p>
    <w:p w:rsidR="00094847" w:rsidRPr="007C7A0C" w:rsidRDefault="00094847" w:rsidP="0080125C">
      <w:pPr>
        <w:pStyle w:val="Paragrafoelenco"/>
        <w:numPr>
          <w:ilvl w:val="0"/>
          <w:numId w:val="2"/>
        </w:numPr>
        <w:spacing w:after="0" w:line="240" w:lineRule="atLeast"/>
        <w:rPr>
          <w:rFonts w:ascii="Arial" w:hAnsi="Arial" w:cs="Arial"/>
          <w:sz w:val="24"/>
          <w:szCs w:val="24"/>
        </w:rPr>
      </w:pPr>
      <w:r w:rsidRPr="007C7A0C">
        <w:rPr>
          <w:rFonts w:ascii="Arial" w:hAnsi="Arial" w:cs="Arial"/>
          <w:sz w:val="24"/>
          <w:szCs w:val="24"/>
        </w:rPr>
        <w:t>Tutti i conti giudiziali sono stati parificati dal soggetto competente ai sensi dell’articolo 25 del D.P.P. n. 18-48/</w:t>
      </w:r>
      <w:proofErr w:type="spellStart"/>
      <w:r w:rsidRPr="007C7A0C">
        <w:rPr>
          <w:rFonts w:ascii="Arial" w:hAnsi="Arial" w:cs="Arial"/>
          <w:sz w:val="24"/>
          <w:szCs w:val="24"/>
        </w:rPr>
        <w:t>Leg</w:t>
      </w:r>
      <w:proofErr w:type="spellEnd"/>
      <w:r w:rsidRPr="007C7A0C">
        <w:rPr>
          <w:rFonts w:ascii="Arial" w:hAnsi="Arial" w:cs="Arial"/>
          <w:sz w:val="24"/>
          <w:szCs w:val="24"/>
        </w:rPr>
        <w:t xml:space="preserve"> di data 29 settembre 2005, come da nota di protocollo </w:t>
      </w:r>
      <w:r w:rsidR="008A26DE">
        <w:rPr>
          <w:rFonts w:ascii="Arial" w:hAnsi="Arial" w:cs="Arial"/>
          <w:sz w:val="24"/>
          <w:szCs w:val="24"/>
        </w:rPr>
        <w:t xml:space="preserve">n. 1772/1.3 </w:t>
      </w:r>
      <w:r w:rsidRPr="007C7A0C">
        <w:rPr>
          <w:rFonts w:ascii="Arial" w:hAnsi="Arial" w:cs="Arial"/>
          <w:sz w:val="24"/>
          <w:szCs w:val="24"/>
        </w:rPr>
        <w:t xml:space="preserve">del </w:t>
      </w:r>
      <w:r w:rsidR="008A26DE">
        <w:rPr>
          <w:rFonts w:ascii="Arial" w:hAnsi="Arial" w:cs="Arial"/>
          <w:sz w:val="24"/>
          <w:szCs w:val="24"/>
        </w:rPr>
        <w:t>10</w:t>
      </w:r>
      <w:r w:rsidRPr="007C7A0C">
        <w:rPr>
          <w:rFonts w:ascii="Arial" w:hAnsi="Arial" w:cs="Arial"/>
          <w:sz w:val="24"/>
          <w:szCs w:val="24"/>
        </w:rPr>
        <w:t>.03.20</w:t>
      </w:r>
      <w:r w:rsidR="008A26DE">
        <w:rPr>
          <w:rFonts w:ascii="Arial" w:hAnsi="Arial" w:cs="Arial"/>
          <w:sz w:val="24"/>
          <w:szCs w:val="24"/>
        </w:rPr>
        <w:t>20</w:t>
      </w:r>
      <w:r w:rsidRPr="007C7A0C">
        <w:rPr>
          <w:rFonts w:ascii="Arial" w:hAnsi="Arial" w:cs="Arial"/>
          <w:sz w:val="24"/>
          <w:szCs w:val="24"/>
        </w:rPr>
        <w:t xml:space="preserve"> a firma del responsabile del procedimento dott. Paolo Fontana.</w:t>
      </w:r>
    </w:p>
    <w:p w:rsidR="0080125C" w:rsidRDefault="0080125C" w:rsidP="0080125C">
      <w:pPr>
        <w:spacing w:line="240" w:lineRule="atLeast"/>
        <w:rPr>
          <w:rFonts w:cs="Arial"/>
          <w:szCs w:val="24"/>
        </w:rPr>
      </w:pPr>
    </w:p>
    <w:p w:rsidR="00094847" w:rsidRPr="007C7A0C" w:rsidRDefault="00094847" w:rsidP="0080125C">
      <w:pPr>
        <w:spacing w:line="240" w:lineRule="atLeast"/>
        <w:rPr>
          <w:rFonts w:cs="Arial"/>
          <w:szCs w:val="24"/>
        </w:rPr>
      </w:pPr>
      <w:r w:rsidRPr="007C7A0C">
        <w:rPr>
          <w:rFonts w:cs="Arial"/>
          <w:szCs w:val="24"/>
        </w:rPr>
        <w:t>Con riferimento ai predetti conti giudiziali forniti dall’amministrazione, si riepilogano le seguenti movimentazioni nell’esercizio 20</w:t>
      </w:r>
      <w:r>
        <w:rPr>
          <w:rFonts w:cs="Arial"/>
          <w:szCs w:val="24"/>
        </w:rPr>
        <w:t>19</w:t>
      </w:r>
      <w:r w:rsidRPr="007C7A0C">
        <w:rPr>
          <w:rFonts w:cs="Arial"/>
          <w:szCs w:val="24"/>
        </w:rPr>
        <w:t>, così come risultanti dalle evidenze contabili esibite: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1683"/>
        <w:gridCol w:w="1751"/>
        <w:gridCol w:w="1751"/>
        <w:gridCol w:w="1618"/>
      </w:tblGrid>
      <w:tr w:rsidR="00094847" w:rsidRPr="007C7A0C" w:rsidTr="006E67B6">
        <w:tc>
          <w:tcPr>
            <w:tcW w:w="3085" w:type="dxa"/>
          </w:tcPr>
          <w:p w:rsidR="00094847" w:rsidRPr="00F64D20" w:rsidRDefault="00094847" w:rsidP="0080125C">
            <w:pPr>
              <w:spacing w:line="240" w:lineRule="atLeast"/>
              <w:rPr>
                <w:rFonts w:cs="Arial"/>
                <w:szCs w:val="24"/>
              </w:rPr>
            </w:pPr>
          </w:p>
        </w:tc>
        <w:tc>
          <w:tcPr>
            <w:tcW w:w="1701" w:type="dxa"/>
          </w:tcPr>
          <w:p w:rsidR="00094847" w:rsidRPr="00F64D20" w:rsidRDefault="00094847" w:rsidP="0080125C">
            <w:pPr>
              <w:spacing w:line="240" w:lineRule="atLeast"/>
              <w:rPr>
                <w:rFonts w:cs="Arial"/>
                <w:szCs w:val="24"/>
              </w:rPr>
            </w:pPr>
            <w:r w:rsidRPr="00F64D20">
              <w:rPr>
                <w:rFonts w:cs="Arial"/>
                <w:szCs w:val="24"/>
              </w:rPr>
              <w:t>Saldo iniziale</w:t>
            </w:r>
          </w:p>
        </w:tc>
        <w:tc>
          <w:tcPr>
            <w:tcW w:w="1701" w:type="dxa"/>
          </w:tcPr>
          <w:p w:rsidR="00094847" w:rsidRPr="00F64D20" w:rsidRDefault="00094847" w:rsidP="0080125C">
            <w:pPr>
              <w:spacing w:line="240" w:lineRule="atLeast"/>
              <w:jc w:val="left"/>
              <w:rPr>
                <w:rFonts w:cs="Arial"/>
                <w:szCs w:val="24"/>
              </w:rPr>
            </w:pPr>
            <w:r w:rsidRPr="00F64D20">
              <w:rPr>
                <w:rFonts w:cs="Arial"/>
                <w:szCs w:val="24"/>
              </w:rPr>
              <w:t>Entrate / Riscossioni</w:t>
            </w:r>
          </w:p>
        </w:tc>
        <w:tc>
          <w:tcPr>
            <w:tcW w:w="1701" w:type="dxa"/>
          </w:tcPr>
          <w:p w:rsidR="00094847" w:rsidRPr="00F64D20" w:rsidRDefault="00094847" w:rsidP="0080125C">
            <w:pPr>
              <w:spacing w:line="240" w:lineRule="atLeast"/>
              <w:jc w:val="left"/>
              <w:rPr>
                <w:rFonts w:cs="Arial"/>
                <w:szCs w:val="24"/>
              </w:rPr>
            </w:pPr>
            <w:r w:rsidRPr="00F64D20">
              <w:rPr>
                <w:rFonts w:cs="Arial"/>
                <w:szCs w:val="24"/>
              </w:rPr>
              <w:t>Uscite / Pagamenti</w:t>
            </w:r>
          </w:p>
        </w:tc>
        <w:tc>
          <w:tcPr>
            <w:tcW w:w="1590" w:type="dxa"/>
          </w:tcPr>
          <w:p w:rsidR="00094847" w:rsidRPr="00F64D20" w:rsidRDefault="00094847" w:rsidP="0080125C">
            <w:pPr>
              <w:spacing w:line="240" w:lineRule="atLeast"/>
              <w:rPr>
                <w:rFonts w:cs="Arial"/>
                <w:szCs w:val="24"/>
              </w:rPr>
            </w:pPr>
            <w:r w:rsidRPr="00F64D20">
              <w:rPr>
                <w:rFonts w:cs="Arial"/>
                <w:szCs w:val="24"/>
              </w:rPr>
              <w:t>Saldo finale</w:t>
            </w:r>
          </w:p>
        </w:tc>
      </w:tr>
      <w:tr w:rsidR="00094847" w:rsidRPr="007C7A0C" w:rsidTr="006E67B6">
        <w:tc>
          <w:tcPr>
            <w:tcW w:w="3085" w:type="dxa"/>
          </w:tcPr>
          <w:p w:rsidR="00094847" w:rsidRPr="00F64D20" w:rsidRDefault="00094847" w:rsidP="0080125C">
            <w:pPr>
              <w:spacing w:line="240" w:lineRule="atLeast"/>
              <w:rPr>
                <w:rFonts w:cs="Arial"/>
                <w:szCs w:val="24"/>
              </w:rPr>
            </w:pPr>
            <w:r w:rsidRPr="00F64D20">
              <w:rPr>
                <w:rFonts w:cs="Arial"/>
                <w:szCs w:val="24"/>
              </w:rPr>
              <w:t>Conto dell’Economo</w:t>
            </w:r>
          </w:p>
        </w:tc>
        <w:tc>
          <w:tcPr>
            <w:tcW w:w="1701" w:type="dxa"/>
          </w:tcPr>
          <w:p w:rsidR="00094847" w:rsidRPr="00F64D20" w:rsidRDefault="00094847" w:rsidP="0080125C">
            <w:pPr>
              <w:spacing w:line="240" w:lineRule="atLeast"/>
              <w:jc w:val="right"/>
              <w:rPr>
                <w:rFonts w:cs="Arial"/>
                <w:szCs w:val="24"/>
              </w:rPr>
            </w:pPr>
            <w:r w:rsidRPr="00F64D20">
              <w:rPr>
                <w:rFonts w:cs="Arial"/>
                <w:szCs w:val="24"/>
              </w:rPr>
              <w:t>7.747,00</w:t>
            </w:r>
          </w:p>
        </w:tc>
        <w:tc>
          <w:tcPr>
            <w:tcW w:w="1701" w:type="dxa"/>
          </w:tcPr>
          <w:p w:rsidR="00094847" w:rsidRPr="00F64D20" w:rsidRDefault="00094847" w:rsidP="0080125C">
            <w:pPr>
              <w:spacing w:line="240" w:lineRule="atLeast"/>
              <w:jc w:val="right"/>
              <w:rPr>
                <w:rFonts w:cs="Arial"/>
                <w:szCs w:val="24"/>
              </w:rPr>
            </w:pPr>
            <w:r w:rsidRPr="00F64D20">
              <w:rPr>
                <w:rFonts w:cs="Arial"/>
                <w:szCs w:val="24"/>
              </w:rPr>
              <w:t>5.837,33</w:t>
            </w:r>
          </w:p>
        </w:tc>
        <w:tc>
          <w:tcPr>
            <w:tcW w:w="1701" w:type="dxa"/>
          </w:tcPr>
          <w:p w:rsidR="00094847" w:rsidRPr="00F64D20" w:rsidRDefault="00094847" w:rsidP="0080125C">
            <w:pPr>
              <w:spacing w:line="240" w:lineRule="atLeast"/>
              <w:jc w:val="right"/>
              <w:rPr>
                <w:rFonts w:cs="Arial"/>
                <w:szCs w:val="24"/>
              </w:rPr>
            </w:pPr>
            <w:r w:rsidRPr="00F64D20">
              <w:rPr>
                <w:rFonts w:cs="Arial"/>
                <w:szCs w:val="24"/>
              </w:rPr>
              <w:t>5.837,33</w:t>
            </w:r>
          </w:p>
        </w:tc>
        <w:tc>
          <w:tcPr>
            <w:tcW w:w="1590" w:type="dxa"/>
          </w:tcPr>
          <w:p w:rsidR="00094847" w:rsidRPr="00F64D20" w:rsidRDefault="00094847" w:rsidP="0080125C">
            <w:pPr>
              <w:spacing w:line="240" w:lineRule="atLeast"/>
              <w:jc w:val="right"/>
              <w:rPr>
                <w:rFonts w:cs="Arial"/>
                <w:szCs w:val="24"/>
              </w:rPr>
            </w:pPr>
            <w:r w:rsidRPr="00F64D20">
              <w:rPr>
                <w:rFonts w:cs="Arial"/>
                <w:szCs w:val="24"/>
              </w:rPr>
              <w:t>7.747,00</w:t>
            </w:r>
          </w:p>
        </w:tc>
      </w:tr>
      <w:tr w:rsidR="00094847" w:rsidRPr="007C7A0C" w:rsidTr="006E67B6">
        <w:tc>
          <w:tcPr>
            <w:tcW w:w="3085" w:type="dxa"/>
          </w:tcPr>
          <w:p w:rsidR="00094847" w:rsidRPr="00F64D20" w:rsidRDefault="00094847" w:rsidP="0080125C">
            <w:pPr>
              <w:spacing w:line="240" w:lineRule="atLeast"/>
              <w:rPr>
                <w:rFonts w:cs="Arial"/>
                <w:szCs w:val="24"/>
              </w:rPr>
            </w:pPr>
            <w:r w:rsidRPr="00F64D20">
              <w:rPr>
                <w:rFonts w:cs="Arial"/>
                <w:szCs w:val="24"/>
              </w:rPr>
              <w:t>Conto del Tesoriere</w:t>
            </w:r>
          </w:p>
        </w:tc>
        <w:tc>
          <w:tcPr>
            <w:tcW w:w="1701" w:type="dxa"/>
          </w:tcPr>
          <w:p w:rsidR="00094847" w:rsidRPr="00F64D20" w:rsidRDefault="00094847" w:rsidP="0080125C">
            <w:pPr>
              <w:spacing w:line="240" w:lineRule="atLeast"/>
              <w:jc w:val="right"/>
              <w:rPr>
                <w:rFonts w:cs="Arial"/>
                <w:szCs w:val="24"/>
              </w:rPr>
            </w:pPr>
            <w:r w:rsidRPr="00F64D20">
              <w:rPr>
                <w:rFonts w:cs="Arial"/>
                <w:szCs w:val="24"/>
              </w:rPr>
              <w:t>1.980.662,30</w:t>
            </w:r>
          </w:p>
        </w:tc>
        <w:tc>
          <w:tcPr>
            <w:tcW w:w="1701" w:type="dxa"/>
          </w:tcPr>
          <w:p w:rsidR="00094847" w:rsidRPr="00F64D20" w:rsidRDefault="00094847" w:rsidP="0080125C">
            <w:pPr>
              <w:spacing w:line="240" w:lineRule="atLeast"/>
              <w:jc w:val="right"/>
              <w:rPr>
                <w:rFonts w:cs="Arial"/>
                <w:szCs w:val="24"/>
              </w:rPr>
            </w:pPr>
            <w:r w:rsidRPr="00F64D20">
              <w:rPr>
                <w:rFonts w:cs="Arial"/>
                <w:szCs w:val="24"/>
              </w:rPr>
              <w:t>17.832.858,30</w:t>
            </w:r>
          </w:p>
        </w:tc>
        <w:tc>
          <w:tcPr>
            <w:tcW w:w="1701" w:type="dxa"/>
          </w:tcPr>
          <w:p w:rsidR="00094847" w:rsidRPr="00F64D20" w:rsidRDefault="00094847" w:rsidP="0080125C">
            <w:pPr>
              <w:spacing w:line="240" w:lineRule="atLeast"/>
              <w:jc w:val="right"/>
              <w:rPr>
                <w:rFonts w:cs="Arial"/>
                <w:szCs w:val="24"/>
              </w:rPr>
            </w:pPr>
            <w:r w:rsidRPr="00F64D20">
              <w:rPr>
                <w:rFonts w:cs="Arial"/>
                <w:szCs w:val="24"/>
              </w:rPr>
              <w:t>18.518.809,41</w:t>
            </w:r>
          </w:p>
        </w:tc>
        <w:tc>
          <w:tcPr>
            <w:tcW w:w="1590" w:type="dxa"/>
          </w:tcPr>
          <w:p w:rsidR="00094847" w:rsidRPr="00F64D20" w:rsidRDefault="00094847" w:rsidP="0080125C">
            <w:pPr>
              <w:spacing w:line="240" w:lineRule="atLeast"/>
              <w:jc w:val="right"/>
              <w:rPr>
                <w:rFonts w:cs="Arial"/>
                <w:szCs w:val="24"/>
              </w:rPr>
            </w:pPr>
            <w:r w:rsidRPr="00F64D20">
              <w:rPr>
                <w:rFonts w:cs="Arial"/>
                <w:szCs w:val="24"/>
              </w:rPr>
              <w:t>1.294.711,19</w:t>
            </w:r>
          </w:p>
        </w:tc>
      </w:tr>
      <w:tr w:rsidR="00094847" w:rsidRPr="007C7A0C" w:rsidTr="006E67B6">
        <w:tc>
          <w:tcPr>
            <w:tcW w:w="3085" w:type="dxa"/>
          </w:tcPr>
          <w:p w:rsidR="00094847" w:rsidRPr="00F64D20" w:rsidRDefault="00094847" w:rsidP="0080125C">
            <w:pPr>
              <w:spacing w:line="240" w:lineRule="atLeast"/>
              <w:jc w:val="left"/>
              <w:rPr>
                <w:rFonts w:cs="Arial"/>
                <w:szCs w:val="24"/>
              </w:rPr>
            </w:pPr>
            <w:r w:rsidRPr="00F64D20">
              <w:rPr>
                <w:rFonts w:cs="Arial"/>
                <w:szCs w:val="24"/>
              </w:rPr>
              <w:t>Concessionario - Trentino Riscossioni</w:t>
            </w:r>
          </w:p>
        </w:tc>
        <w:tc>
          <w:tcPr>
            <w:tcW w:w="1701"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57.536,42</w:t>
            </w:r>
          </w:p>
        </w:tc>
        <w:tc>
          <w:tcPr>
            <w:tcW w:w="1701"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2.820.154,00</w:t>
            </w:r>
          </w:p>
        </w:tc>
        <w:tc>
          <w:tcPr>
            <w:tcW w:w="1701"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2.815.827,66</w:t>
            </w:r>
          </w:p>
        </w:tc>
        <w:tc>
          <w:tcPr>
            <w:tcW w:w="1590"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61.862,76</w:t>
            </w:r>
          </w:p>
        </w:tc>
      </w:tr>
      <w:tr w:rsidR="00094847" w:rsidRPr="007C7A0C" w:rsidTr="006E67B6">
        <w:tc>
          <w:tcPr>
            <w:tcW w:w="3085" w:type="dxa"/>
          </w:tcPr>
          <w:p w:rsidR="00094847" w:rsidRPr="00F64D20" w:rsidRDefault="00094847" w:rsidP="0080125C">
            <w:pPr>
              <w:spacing w:line="240" w:lineRule="atLeast"/>
              <w:rPr>
                <w:rFonts w:cs="Arial"/>
                <w:szCs w:val="24"/>
              </w:rPr>
            </w:pPr>
            <w:r w:rsidRPr="00F64D20">
              <w:rPr>
                <w:rFonts w:cs="Arial"/>
                <w:szCs w:val="24"/>
              </w:rPr>
              <w:t>Concessionario - Agenzia delle Entrate-Riscossione</w:t>
            </w:r>
          </w:p>
        </w:tc>
        <w:tc>
          <w:tcPr>
            <w:tcW w:w="1701"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0</w:t>
            </w:r>
          </w:p>
        </w:tc>
        <w:tc>
          <w:tcPr>
            <w:tcW w:w="1701"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1.280,63</w:t>
            </w:r>
          </w:p>
        </w:tc>
        <w:tc>
          <w:tcPr>
            <w:tcW w:w="1701"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1.280,63</w:t>
            </w:r>
          </w:p>
        </w:tc>
        <w:tc>
          <w:tcPr>
            <w:tcW w:w="1590" w:type="dxa"/>
          </w:tcPr>
          <w:p w:rsidR="00094847" w:rsidRPr="00F64D20" w:rsidRDefault="00094847" w:rsidP="0080125C">
            <w:pPr>
              <w:spacing w:line="240" w:lineRule="atLeast"/>
              <w:jc w:val="right"/>
              <w:rPr>
                <w:rFonts w:cs="Arial"/>
                <w:szCs w:val="24"/>
              </w:rPr>
            </w:pPr>
          </w:p>
          <w:p w:rsidR="00094847" w:rsidRPr="00F64D20" w:rsidRDefault="00094847" w:rsidP="0080125C">
            <w:pPr>
              <w:spacing w:line="240" w:lineRule="atLeast"/>
              <w:jc w:val="right"/>
              <w:rPr>
                <w:rFonts w:cs="Arial"/>
                <w:szCs w:val="24"/>
              </w:rPr>
            </w:pPr>
            <w:r w:rsidRPr="00F64D20">
              <w:rPr>
                <w:rFonts w:cs="Arial"/>
                <w:szCs w:val="24"/>
              </w:rPr>
              <w:t>0,00</w:t>
            </w:r>
          </w:p>
        </w:tc>
      </w:tr>
    </w:tbl>
    <w:p w:rsidR="00B07C8D" w:rsidRDefault="00B07C8D" w:rsidP="0080125C">
      <w:pPr>
        <w:pStyle w:val="testo"/>
        <w:spacing w:line="240" w:lineRule="atLeast"/>
        <w:ind w:firstLine="0"/>
        <w:rPr>
          <w:rFonts w:cs="Arial"/>
          <w:szCs w:val="24"/>
        </w:rPr>
      </w:pPr>
    </w:p>
    <w:p w:rsidR="00B07C8D" w:rsidRDefault="00B07C8D" w:rsidP="0080125C">
      <w:pPr>
        <w:pStyle w:val="testo"/>
        <w:spacing w:line="240" w:lineRule="atLeast"/>
        <w:ind w:firstLine="0"/>
        <w:rPr>
          <w:rFonts w:cs="Arial"/>
          <w:szCs w:val="24"/>
        </w:rPr>
      </w:pPr>
    </w:p>
    <w:p w:rsidR="0080125C" w:rsidRDefault="0080125C" w:rsidP="0080125C">
      <w:pPr>
        <w:pStyle w:val="testo"/>
        <w:spacing w:line="240" w:lineRule="atLeast"/>
        <w:ind w:firstLine="0"/>
        <w:rPr>
          <w:rFonts w:cs="Arial"/>
          <w:szCs w:val="24"/>
        </w:rPr>
      </w:pPr>
      <w:r>
        <w:rPr>
          <w:rFonts w:cs="Arial"/>
          <w:szCs w:val="24"/>
        </w:rPr>
        <w:t>Trento, 21 aprile 2020</w:t>
      </w:r>
    </w:p>
    <w:p w:rsidR="0080125C" w:rsidRDefault="0080125C" w:rsidP="0080125C">
      <w:pPr>
        <w:pStyle w:val="testo"/>
        <w:spacing w:line="240" w:lineRule="atLeast"/>
        <w:ind w:firstLine="0"/>
        <w:rPr>
          <w:rFonts w:cs="Arial"/>
          <w:szCs w:val="24"/>
        </w:rPr>
      </w:pPr>
    </w:p>
    <w:p w:rsidR="0080125C" w:rsidRDefault="0080125C" w:rsidP="0080125C">
      <w:pPr>
        <w:pStyle w:val="testo"/>
        <w:spacing w:line="240" w:lineRule="atLeast"/>
        <w:ind w:firstLine="0"/>
        <w:rPr>
          <w:rFonts w:cs="Arial"/>
          <w:szCs w:val="24"/>
        </w:rPr>
      </w:pPr>
      <w:r>
        <w:rPr>
          <w:rFonts w:cs="Arial"/>
          <w:szCs w:val="24"/>
        </w:rPr>
        <w:t>Il Collegio dei Revisori</w:t>
      </w:r>
    </w:p>
    <w:p w:rsidR="00094847" w:rsidRPr="007C7A0C" w:rsidRDefault="00094847" w:rsidP="0080125C">
      <w:pPr>
        <w:pStyle w:val="testo"/>
        <w:spacing w:line="240" w:lineRule="atLeast"/>
        <w:ind w:firstLine="0"/>
        <w:rPr>
          <w:rFonts w:cs="Arial"/>
          <w:szCs w:val="24"/>
        </w:rPr>
      </w:pPr>
      <w:r w:rsidRPr="007C7A0C">
        <w:rPr>
          <w:rFonts w:cs="Arial"/>
          <w:szCs w:val="24"/>
        </w:rPr>
        <w:t>Dott. Marco Bernardis</w:t>
      </w:r>
      <w:r w:rsidR="00741E6B">
        <w:rPr>
          <w:rFonts w:cs="Arial"/>
          <w:szCs w:val="24"/>
        </w:rPr>
        <w:t xml:space="preserve"> – firmato digitalmente</w:t>
      </w:r>
    </w:p>
    <w:p w:rsidR="00094847" w:rsidRPr="007C7A0C" w:rsidRDefault="00094847" w:rsidP="0080125C">
      <w:pPr>
        <w:pStyle w:val="testo"/>
        <w:spacing w:line="240" w:lineRule="atLeast"/>
        <w:ind w:firstLine="0"/>
        <w:rPr>
          <w:rFonts w:cs="Arial"/>
          <w:szCs w:val="24"/>
        </w:rPr>
      </w:pPr>
      <w:r w:rsidRPr="007C7A0C">
        <w:rPr>
          <w:rFonts w:cs="Arial"/>
          <w:szCs w:val="24"/>
        </w:rPr>
        <w:t>Dott. Diego Tamburini</w:t>
      </w:r>
      <w:r w:rsidR="00741E6B">
        <w:rPr>
          <w:rFonts w:cs="Arial"/>
          <w:szCs w:val="24"/>
        </w:rPr>
        <w:t xml:space="preserve"> – firmato digitalmente</w:t>
      </w:r>
    </w:p>
    <w:p w:rsidR="009D0A4A" w:rsidRDefault="00094847" w:rsidP="00F64D20">
      <w:pPr>
        <w:pStyle w:val="testo"/>
        <w:spacing w:line="240" w:lineRule="atLeast"/>
        <w:ind w:firstLine="0"/>
      </w:pPr>
      <w:r w:rsidRPr="007C7A0C">
        <w:rPr>
          <w:rFonts w:cs="Arial"/>
          <w:szCs w:val="24"/>
        </w:rPr>
        <w:t>Dott.ssa Maria D’Ippoliti</w:t>
      </w:r>
      <w:r w:rsidR="00741E6B">
        <w:rPr>
          <w:rFonts w:cs="Arial"/>
          <w:szCs w:val="24"/>
        </w:rPr>
        <w:t xml:space="preserve"> – firmato digitalmente</w:t>
      </w:r>
    </w:p>
    <w:sectPr w:rsidR="009D0A4A" w:rsidSect="009D0A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E1AD1"/>
    <w:multiLevelType w:val="hybridMultilevel"/>
    <w:tmpl w:val="A2A29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CC54EC2"/>
    <w:multiLevelType w:val="hybridMultilevel"/>
    <w:tmpl w:val="B4B06C30"/>
    <w:lvl w:ilvl="0" w:tplc="3442586C">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FAA6C07"/>
    <w:multiLevelType w:val="hybridMultilevel"/>
    <w:tmpl w:val="EAC63F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47"/>
    <w:rsid w:val="00014525"/>
    <w:rsid w:val="00094847"/>
    <w:rsid w:val="002A21B5"/>
    <w:rsid w:val="004E2ECE"/>
    <w:rsid w:val="00741E6B"/>
    <w:rsid w:val="0080125C"/>
    <w:rsid w:val="008A26DE"/>
    <w:rsid w:val="008C0418"/>
    <w:rsid w:val="009D0A4A"/>
    <w:rsid w:val="00B07C8D"/>
    <w:rsid w:val="00F64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7F58A-2049-4155-BF6B-DB6B6101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847"/>
    <w:pPr>
      <w:spacing w:after="0" w:line="567" w:lineRule="exact"/>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uiPriority w:val="99"/>
    <w:rsid w:val="00094847"/>
    <w:pPr>
      <w:widowControl w:val="0"/>
      <w:spacing w:line="320" w:lineRule="auto"/>
      <w:ind w:firstLine="1134"/>
    </w:pPr>
    <w:rPr>
      <w:snapToGrid w:val="0"/>
    </w:rPr>
  </w:style>
  <w:style w:type="paragraph" w:styleId="Paragrafoelenco">
    <w:name w:val="List Paragraph"/>
    <w:basedOn w:val="Normale"/>
    <w:uiPriority w:val="34"/>
    <w:qFormat/>
    <w:rsid w:val="0009484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SusannaDefant</dc:creator>
  <cp:lastModifiedBy>SusannaDefant</cp:lastModifiedBy>
  <cp:revision>2</cp:revision>
  <cp:lastPrinted>2020-04-21T07:27:00Z</cp:lastPrinted>
  <dcterms:created xsi:type="dcterms:W3CDTF">2020-06-11T12:59:00Z</dcterms:created>
  <dcterms:modified xsi:type="dcterms:W3CDTF">2020-06-11T12:59:00Z</dcterms:modified>
</cp:coreProperties>
</file>